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csostblzat"/>
        <w:tblW w:w="0" w:type="auto"/>
        <w:jc w:val="center"/>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tblPr>
      <w:tblGrid>
        <w:gridCol w:w="842"/>
        <w:gridCol w:w="6729"/>
        <w:gridCol w:w="1717"/>
      </w:tblGrid>
      <w:tr w:rsidR="00E5299E" w:rsidRPr="002F112B" w:rsidTr="00411AAD">
        <w:trPr>
          <w:trHeight w:val="1285"/>
          <w:jc w:val="center"/>
        </w:trPr>
        <w:tc>
          <w:tcPr>
            <w:tcW w:w="851" w:type="dxa"/>
          </w:tcPr>
          <w:p w:rsidR="00E5299E" w:rsidRPr="002F112B" w:rsidRDefault="00E5299E" w:rsidP="00411AAD">
            <w:pPr>
              <w:jc w:val="both"/>
              <w:rPr>
                <w:rFonts w:ascii="Times New Roman" w:hAnsi="Times New Roman" w:cs="Times New Roman"/>
              </w:rPr>
            </w:pPr>
            <w:r w:rsidRPr="002F112B">
              <w:rPr>
                <w:rFonts w:ascii="Times New Roman" w:hAnsi="Times New Roman" w:cs="Times New Roman"/>
                <w:b/>
                <w:noProof/>
                <w:lang w:eastAsia="hu-HU"/>
              </w:rPr>
              <w:drawing>
                <wp:anchor distT="0" distB="0" distL="114300" distR="114300" simplePos="0" relativeHeight="251659264" behindDoc="0" locked="0" layoutInCell="1" allowOverlap="1">
                  <wp:simplePos x="0" y="0"/>
                  <wp:positionH relativeFrom="margin">
                    <wp:posOffset>-68326</wp:posOffset>
                  </wp:positionH>
                  <wp:positionV relativeFrom="paragraph">
                    <wp:posOffset>5080</wp:posOffset>
                  </wp:positionV>
                  <wp:extent cx="628650" cy="759539"/>
                  <wp:effectExtent l="0" t="0" r="0" b="254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759539"/>
                          </a:xfrm>
                          <a:prstGeom prst="rect">
                            <a:avLst/>
                          </a:prstGeom>
                          <a:noFill/>
                        </pic:spPr>
                      </pic:pic>
                    </a:graphicData>
                  </a:graphic>
                </wp:anchor>
              </w:drawing>
            </w:r>
          </w:p>
        </w:tc>
        <w:tc>
          <w:tcPr>
            <w:tcW w:w="6794" w:type="dxa"/>
          </w:tcPr>
          <w:p w:rsidR="00E5299E" w:rsidRPr="00292913" w:rsidRDefault="00E5299E" w:rsidP="00411AAD">
            <w:pPr>
              <w:jc w:val="center"/>
              <w:rPr>
                <w:rFonts w:ascii="Calibri" w:hAnsi="Calibri" w:cs="Calibri"/>
                <w:b/>
              </w:rPr>
            </w:pPr>
            <w:r w:rsidRPr="00292913">
              <w:rPr>
                <w:rFonts w:ascii="Calibri" w:hAnsi="Calibri" w:cs="Calibri"/>
                <w:b/>
              </w:rPr>
              <w:t>TAMÁSI VÁROS POLGÁRMESTERE</w:t>
            </w:r>
          </w:p>
          <w:p w:rsidR="00E5299E" w:rsidRPr="00292913" w:rsidRDefault="00E5299E" w:rsidP="00411AAD">
            <w:pPr>
              <w:jc w:val="center"/>
              <w:rPr>
                <w:rFonts w:ascii="Calibri" w:hAnsi="Calibri" w:cs="Calibri"/>
              </w:rPr>
            </w:pPr>
            <w:r w:rsidRPr="00292913">
              <w:rPr>
                <w:rFonts w:ascii="Calibri" w:hAnsi="Calibri" w:cs="Calibri"/>
              </w:rPr>
              <w:t>7090 Tamási, Szabadság u. 46-48., Pf. 129.</w:t>
            </w:r>
          </w:p>
          <w:p w:rsidR="00E5299E" w:rsidRPr="00292913" w:rsidRDefault="00E5299E" w:rsidP="00411AAD">
            <w:pPr>
              <w:jc w:val="center"/>
              <w:rPr>
                <w:rFonts w:ascii="Calibri" w:hAnsi="Calibri" w:cs="Calibri"/>
              </w:rPr>
            </w:pPr>
            <w:r w:rsidRPr="00292913">
              <w:rPr>
                <w:rFonts w:ascii="Calibri" w:hAnsi="Calibri" w:cs="Calibri"/>
              </w:rPr>
              <w:t>Tel. 74/570-808 KRID szám: 303093122</w:t>
            </w:r>
          </w:p>
          <w:p w:rsidR="00E5299E" w:rsidRPr="002F112B" w:rsidRDefault="00E5299E" w:rsidP="00411AAD">
            <w:pPr>
              <w:jc w:val="center"/>
              <w:rPr>
                <w:rFonts w:ascii="Times New Roman" w:hAnsi="Times New Roman" w:cs="Times New Roman"/>
              </w:rPr>
            </w:pPr>
            <w:r w:rsidRPr="00292913">
              <w:rPr>
                <w:rFonts w:ascii="Calibri" w:hAnsi="Calibri" w:cs="Calibri"/>
              </w:rPr>
              <w:t xml:space="preserve">web: </w:t>
            </w:r>
            <w:hyperlink r:id="rId5" w:history="1">
              <w:r w:rsidRPr="00292913">
                <w:rPr>
                  <w:rStyle w:val="Hiperhivatkozs"/>
                  <w:rFonts w:ascii="Calibri" w:hAnsi="Calibri" w:cs="Calibri"/>
                </w:rPr>
                <w:t>www.tamasi.hu</w:t>
              </w:r>
            </w:hyperlink>
            <w:r w:rsidRPr="00292913">
              <w:rPr>
                <w:rFonts w:ascii="Calibri" w:hAnsi="Calibri" w:cs="Calibri"/>
              </w:rPr>
              <w:t xml:space="preserve">, e-mail: </w:t>
            </w:r>
            <w:hyperlink r:id="rId6" w:history="1">
              <w:r w:rsidRPr="00292913">
                <w:rPr>
                  <w:rStyle w:val="Hiperhivatkozs"/>
                  <w:rFonts w:ascii="Calibri" w:hAnsi="Calibri" w:cs="Calibri"/>
                </w:rPr>
                <w:t>polgarmester@tamasi.hu</w:t>
              </w:r>
            </w:hyperlink>
          </w:p>
        </w:tc>
        <w:tc>
          <w:tcPr>
            <w:tcW w:w="1716" w:type="dxa"/>
          </w:tcPr>
          <w:p w:rsidR="00E5299E" w:rsidRPr="00D64A00" w:rsidRDefault="00E5299E" w:rsidP="00411AAD">
            <w:pPr>
              <w:spacing w:before="100" w:beforeAutospacing="1" w:after="100" w:afterAutospacing="1"/>
              <w:rPr>
                <w:rFonts w:ascii="Times New Roman" w:eastAsia="Times New Roman" w:hAnsi="Times New Roman" w:cs="Times New Roman"/>
                <w:sz w:val="24"/>
                <w:szCs w:val="24"/>
                <w:lang w:eastAsia="hu-HU"/>
              </w:rPr>
            </w:pPr>
            <w:r>
              <w:rPr>
                <w:noProof/>
                <w:lang w:eastAsia="hu-HU"/>
              </w:rPr>
              <w:drawing>
                <wp:inline distT="0" distB="0" distL="0" distR="0">
                  <wp:extent cx="950400" cy="849600"/>
                  <wp:effectExtent l="0" t="0" r="2540" b="8255"/>
                  <wp:docPr id="1" name="Kép 1" descr="C:\Users\TAMASI~1\AppData\Local\Temp\pid-18436\Tamá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MASI~1\AppData\Local\Temp\pid-18436\Tamási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0400" cy="849600"/>
                          </a:xfrm>
                          <a:prstGeom prst="rect">
                            <a:avLst/>
                          </a:prstGeom>
                          <a:noFill/>
                          <a:ln>
                            <a:noFill/>
                          </a:ln>
                        </pic:spPr>
                      </pic:pic>
                    </a:graphicData>
                  </a:graphic>
                </wp:inline>
              </w:drawing>
            </w:r>
          </w:p>
        </w:tc>
      </w:tr>
    </w:tbl>
    <w:p w:rsidR="00E5299E" w:rsidRPr="00637C69" w:rsidRDefault="00E5299E" w:rsidP="00E5299E">
      <w:pPr>
        <w:spacing w:after="0" w:line="240" w:lineRule="auto"/>
        <w:jc w:val="center"/>
        <w:rPr>
          <w:rFonts w:ascii="Calibri" w:hAnsi="Calibri" w:cs="Calibri"/>
          <w:b/>
          <w:smallCaps/>
          <w:u w:val="single"/>
        </w:rPr>
      </w:pPr>
      <w:r w:rsidRPr="00637C69">
        <w:rPr>
          <w:rFonts w:ascii="Calibri" w:hAnsi="Calibri" w:cs="Calibri"/>
          <w:b/>
          <w:smallCaps/>
          <w:u w:val="single"/>
        </w:rPr>
        <w:t>az önkormányzat tulajdonában álló közterületek</w:t>
      </w:r>
    </w:p>
    <w:p w:rsidR="00E5299E" w:rsidRPr="00637C69" w:rsidRDefault="00E5299E" w:rsidP="00E5299E">
      <w:pPr>
        <w:spacing w:after="0" w:line="240" w:lineRule="auto"/>
        <w:jc w:val="center"/>
        <w:rPr>
          <w:rFonts w:ascii="Calibri" w:hAnsi="Calibri" w:cs="Calibri"/>
          <w:b/>
          <w:smallCaps/>
          <w:u w:val="single"/>
        </w:rPr>
      </w:pPr>
      <w:r w:rsidRPr="00637C69">
        <w:rPr>
          <w:rFonts w:ascii="Calibri" w:hAnsi="Calibri" w:cs="Calibri"/>
          <w:b/>
          <w:smallCaps/>
          <w:u w:val="single"/>
        </w:rPr>
        <w:t>filmforgatási célú használatának szabályairól és díjtételeiről</w:t>
      </w:r>
    </w:p>
    <w:p w:rsidR="00E5299E" w:rsidRPr="00E5299E" w:rsidRDefault="00E5299E" w:rsidP="00E5299E">
      <w:pPr>
        <w:jc w:val="center"/>
        <w:rPr>
          <w:rFonts w:ascii="Calibri" w:hAnsi="Calibri" w:cs="Calibri"/>
          <w:b/>
          <w:smallCaps/>
        </w:rPr>
      </w:pPr>
      <w:r w:rsidRPr="00637C69">
        <w:rPr>
          <w:rFonts w:ascii="Calibri" w:hAnsi="Calibri" w:cs="Calibri"/>
          <w:b/>
          <w:smallCaps/>
        </w:rPr>
        <w:t>(202</w:t>
      </w:r>
      <w:r>
        <w:rPr>
          <w:rFonts w:ascii="Calibri" w:hAnsi="Calibri" w:cs="Calibri"/>
          <w:b/>
          <w:smallCaps/>
        </w:rPr>
        <w:t>5</w:t>
      </w:r>
      <w:r w:rsidRPr="00637C69">
        <w:rPr>
          <w:rFonts w:ascii="Calibri" w:hAnsi="Calibri" w:cs="Calibri"/>
          <w:b/>
          <w:smallCaps/>
        </w:rPr>
        <w:t>. 01. 01.)</w:t>
      </w:r>
    </w:p>
    <w:p w:rsidR="00E5299E" w:rsidRPr="00637C69" w:rsidRDefault="00E5299E" w:rsidP="00E5299E">
      <w:pPr>
        <w:spacing w:after="0" w:line="240" w:lineRule="auto"/>
        <w:jc w:val="both"/>
        <w:rPr>
          <w:rFonts w:ascii="Calibri" w:hAnsi="Calibri" w:cs="Calibri"/>
        </w:rPr>
      </w:pPr>
      <w:r w:rsidRPr="00637C69">
        <w:rPr>
          <w:rFonts w:ascii="Calibri" w:hAnsi="Calibri" w:cs="Calibri"/>
        </w:rPr>
        <w:t xml:space="preserve">Tamási Város Önkormányzat Képviselő-testületének a közterületek használatáról szóló 15/2020. (V.28.) önkormányzati rendelete </w:t>
      </w:r>
      <w:r>
        <w:rPr>
          <w:rFonts w:ascii="Calibri" w:hAnsi="Calibri" w:cs="Calibri"/>
        </w:rPr>
        <w:t xml:space="preserve">(a továbbiakban önkormányzati rendelet) </w:t>
      </w:r>
      <w:r w:rsidRPr="00637C69">
        <w:rPr>
          <w:rFonts w:ascii="Calibri" w:hAnsi="Calibri" w:cs="Calibri"/>
        </w:rPr>
        <w:t>szabályozza a mozgóképről szóló 2004. évi II. törvény</w:t>
      </w:r>
      <w:r>
        <w:rPr>
          <w:rFonts w:ascii="Calibri" w:hAnsi="Calibri" w:cs="Calibri"/>
        </w:rPr>
        <w:t xml:space="preserve"> (a továbbiakban: Filmtörvény) </w:t>
      </w:r>
      <w:r w:rsidRPr="00637C69">
        <w:rPr>
          <w:rFonts w:ascii="Calibri" w:hAnsi="Calibri" w:cs="Calibri"/>
        </w:rPr>
        <w:t>34.§</w:t>
      </w:r>
      <w:proofErr w:type="spellStart"/>
      <w:r w:rsidRPr="00637C69">
        <w:rPr>
          <w:rFonts w:ascii="Calibri" w:hAnsi="Calibri" w:cs="Calibri"/>
        </w:rPr>
        <w:t>-ának</w:t>
      </w:r>
      <w:proofErr w:type="spellEnd"/>
      <w:r w:rsidRPr="00637C69">
        <w:rPr>
          <w:rFonts w:ascii="Calibri" w:hAnsi="Calibri" w:cs="Calibri"/>
        </w:rPr>
        <w:t xml:space="preserve"> megfelelően a közterület filmforgatási célú használatát a következők szerint:</w:t>
      </w:r>
    </w:p>
    <w:p w:rsidR="00E5299E" w:rsidRDefault="00E5299E" w:rsidP="00E5299E">
      <w:pPr>
        <w:spacing w:after="0" w:line="240" w:lineRule="auto"/>
        <w:jc w:val="both"/>
        <w:rPr>
          <w:rFonts w:ascii="Calibri" w:hAnsi="Calibri" w:cs="Calibri"/>
        </w:rPr>
      </w:pPr>
    </w:p>
    <w:p w:rsidR="00E5299E" w:rsidRDefault="00E5299E" w:rsidP="00E5299E">
      <w:pPr>
        <w:spacing w:after="0" w:line="240" w:lineRule="auto"/>
        <w:jc w:val="both"/>
        <w:rPr>
          <w:rFonts w:ascii="Calibri" w:hAnsi="Calibri" w:cs="Calibri"/>
        </w:rPr>
      </w:pPr>
      <w:r w:rsidRPr="00637C69">
        <w:rPr>
          <w:rFonts w:ascii="Calibri" w:hAnsi="Calibri" w:cs="Calibri"/>
        </w:rPr>
        <w:t>Kivonat az önkormányzati rendeletből:</w:t>
      </w:r>
    </w:p>
    <w:p w:rsidR="00E5299E" w:rsidRPr="00637C69" w:rsidRDefault="00E5299E" w:rsidP="00E5299E">
      <w:pPr>
        <w:spacing w:after="0" w:line="240" w:lineRule="auto"/>
        <w:jc w:val="both"/>
        <w:rPr>
          <w:rFonts w:ascii="Calibri" w:hAnsi="Calibri" w:cs="Calibri"/>
        </w:rPr>
      </w:pPr>
    </w:p>
    <w:p w:rsidR="00E5299E" w:rsidRPr="00637C69" w:rsidRDefault="00E5299E" w:rsidP="00E5299E">
      <w:pPr>
        <w:shd w:val="clear" w:color="auto" w:fill="FFFFFF"/>
        <w:spacing w:after="0" w:line="240" w:lineRule="auto"/>
        <w:jc w:val="center"/>
        <w:rPr>
          <w:rFonts w:eastAsia="Times New Roman" w:cstheme="minorHAnsi"/>
          <w:i/>
          <w:iCs/>
          <w:color w:val="000000" w:themeColor="text1"/>
          <w:lang w:eastAsia="hu-HU"/>
        </w:rPr>
      </w:pPr>
      <w:r>
        <w:rPr>
          <w:rFonts w:eastAsia="Times New Roman" w:cstheme="minorHAnsi"/>
          <w:i/>
          <w:iCs/>
          <w:color w:val="000000" w:themeColor="text1"/>
          <w:lang w:eastAsia="hu-HU"/>
        </w:rPr>
        <w:t>„</w:t>
      </w:r>
      <w:r w:rsidRPr="00637C69">
        <w:rPr>
          <w:rFonts w:eastAsia="Times New Roman" w:cstheme="minorHAnsi"/>
          <w:i/>
          <w:iCs/>
          <w:color w:val="000000" w:themeColor="text1"/>
          <w:lang w:eastAsia="hu-HU"/>
        </w:rPr>
        <w:t>IV. Fejezet</w:t>
      </w:r>
    </w:p>
    <w:p w:rsidR="00E5299E" w:rsidRDefault="00E5299E" w:rsidP="00E5299E">
      <w:pPr>
        <w:shd w:val="clear" w:color="auto" w:fill="FFFFFF"/>
        <w:spacing w:after="0" w:line="240" w:lineRule="auto"/>
        <w:jc w:val="center"/>
        <w:rPr>
          <w:rFonts w:eastAsia="Times New Roman" w:cstheme="minorHAnsi"/>
          <w:i/>
          <w:iCs/>
          <w:color w:val="000000" w:themeColor="text1"/>
          <w:lang w:eastAsia="hu-HU"/>
        </w:rPr>
      </w:pPr>
      <w:r w:rsidRPr="00637C69">
        <w:rPr>
          <w:rFonts w:eastAsia="Times New Roman" w:cstheme="minorHAnsi"/>
          <w:i/>
          <w:iCs/>
          <w:color w:val="000000" w:themeColor="text1"/>
          <w:lang w:eastAsia="hu-HU"/>
        </w:rPr>
        <w:t>Közterület filmforgatási célú használata</w:t>
      </w:r>
    </w:p>
    <w:p w:rsidR="00E5299E" w:rsidRDefault="00E5299E" w:rsidP="00E5299E">
      <w:pPr>
        <w:shd w:val="clear" w:color="auto" w:fill="FFFFFF"/>
        <w:spacing w:after="0" w:line="240" w:lineRule="auto"/>
        <w:jc w:val="center"/>
        <w:rPr>
          <w:rFonts w:eastAsia="Times New Roman" w:cstheme="minorHAnsi"/>
          <w:color w:val="000000" w:themeColor="text1"/>
          <w:lang w:eastAsia="hu-HU"/>
        </w:rPr>
      </w:pPr>
      <w:r w:rsidRPr="00637C69">
        <w:rPr>
          <w:rFonts w:eastAsia="Times New Roman" w:cstheme="minorHAnsi"/>
          <w:b/>
          <w:bCs/>
          <w:color w:val="000000" w:themeColor="text1"/>
          <w:lang w:eastAsia="hu-HU"/>
        </w:rPr>
        <w:t>29. §</w:t>
      </w:r>
      <w:r w:rsidRPr="00637C69">
        <w:rPr>
          <w:rFonts w:eastAsia="Times New Roman" w:cstheme="minorHAnsi"/>
          <w:color w:val="000000" w:themeColor="text1"/>
          <w:lang w:eastAsia="hu-HU"/>
        </w:rPr>
        <w:t> </w:t>
      </w:r>
    </w:p>
    <w:p w:rsidR="00E5299E" w:rsidRPr="00637C69" w:rsidRDefault="00E5299E" w:rsidP="00E5299E">
      <w:pPr>
        <w:shd w:val="clear" w:color="auto" w:fill="FFFFFF"/>
        <w:spacing w:after="0" w:line="240" w:lineRule="auto"/>
        <w:jc w:val="center"/>
        <w:rPr>
          <w:rFonts w:eastAsia="Times New Roman" w:cstheme="minorHAnsi"/>
          <w:i/>
          <w:iCs/>
          <w:color w:val="000000" w:themeColor="text1"/>
          <w:lang w:eastAsia="hu-HU"/>
        </w:rPr>
      </w:pPr>
    </w:p>
    <w:p w:rsidR="00E5299E" w:rsidRPr="00637C69"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(1</w:t>
      </w:r>
      <w:r>
        <w:rPr>
          <w:rFonts w:eastAsia="Times New Roman" w:cstheme="minorHAnsi"/>
          <w:color w:val="000000" w:themeColor="text1"/>
          <w:lang w:eastAsia="hu-HU"/>
        </w:rPr>
        <w:t xml:space="preserve">) </w:t>
      </w:r>
      <w:r w:rsidRPr="00637C69">
        <w:rPr>
          <w:rFonts w:eastAsia="Times New Roman" w:cstheme="minorHAnsi"/>
          <w:color w:val="000000" w:themeColor="text1"/>
          <w:lang w:eastAsia="hu-HU"/>
        </w:rPr>
        <w:t xml:space="preserve">A mozgóképről szóló 2004. évi II. törvény (továbbiakban: </w:t>
      </w:r>
      <w:proofErr w:type="spellStart"/>
      <w:r w:rsidRPr="00637C69">
        <w:rPr>
          <w:rFonts w:eastAsia="Times New Roman" w:cstheme="minorHAnsi"/>
          <w:color w:val="000000" w:themeColor="text1"/>
          <w:lang w:eastAsia="hu-HU"/>
        </w:rPr>
        <w:t>Mgtv</w:t>
      </w:r>
      <w:proofErr w:type="spellEnd"/>
      <w:r w:rsidRPr="00637C69">
        <w:rPr>
          <w:rFonts w:eastAsia="Times New Roman" w:cstheme="minorHAnsi"/>
          <w:color w:val="000000" w:themeColor="text1"/>
          <w:lang w:eastAsia="hu-HU"/>
        </w:rPr>
        <w:t>.) szerinti filmalkotás forgatása céljából történő közterület használat (továbbiakban: közterület filmforgatási célú használata) vonatkozásában ezen rendelet szabályait az e fejezetben foglalt eltérésekkel kell alkalmazni.</w:t>
      </w:r>
    </w:p>
    <w:p w:rsidR="00E5299E" w:rsidRDefault="00E5299E" w:rsidP="00E5299E">
      <w:pPr>
        <w:shd w:val="clear" w:color="auto" w:fill="FFFFFF"/>
        <w:spacing w:after="0" w:line="240" w:lineRule="auto"/>
        <w:jc w:val="both"/>
        <w:rPr>
          <w:lang w:eastAsia="hu-HU"/>
        </w:rPr>
      </w:pPr>
    </w:p>
    <w:p w:rsidR="00E5299E"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(2) Közterület filmforgatási célú használata csak a szükséges mértékben korlátozhatja a közterületek rendeltetésszerű használatát és nem eredményezhet aránytalan terhet a közterülettel határos ingatlanok tulajdonosai, használói részére. A szükséges mérték meghatározására, valamint közterület használónak a Magyar Nemzeti Filmalap Közhasznú Nonprofit Zrt-vel kötendő hatósági szerződés jóváhagyására – átruházott hatáskörben – a polgármester jogosult.</w:t>
      </w:r>
    </w:p>
    <w:p w:rsidR="00E5299E"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Pr="00637C69"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(3) A hatósági szerződés abban az esetben hagyható jóvá, ha a kérelmező a következő feltételek teljesítését vállalja:</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a) az eredeti állapot helyreállítását,</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b) az igénybe vett közterület és a közterületen elhelyezett tárgyak rendben- és tisztán tartását,</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c) a keletkezett hulladék elszállításáról való gondoskodást,</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d) a filmforgatással érintett lakosság és vállalkozás tájékoztatását a filmforgatással kapcsolatos lényeges információkról,</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e) az esetleges forgalomkorlátozásokról tájékoztató megjelentetését a helyi médiában,</w:t>
      </w:r>
    </w:p>
    <w:p w:rsidR="00E5299E" w:rsidRPr="00637C69"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f) a filmforgatás miatti vagy azzal összefüggésbe hozható esetleges károk megtérítését, beleértve a harmadik személy által az önkormányzat felé érvényesített kárt is, továbbá</w:t>
      </w:r>
    </w:p>
    <w:p w:rsidR="00E5299E" w:rsidRDefault="00E5299E" w:rsidP="00E5299E">
      <w:pPr>
        <w:shd w:val="clear" w:color="auto" w:fill="FFFFFF"/>
        <w:spacing w:after="0" w:line="240" w:lineRule="auto"/>
        <w:ind w:firstLine="180"/>
        <w:jc w:val="both"/>
        <w:rPr>
          <w:rFonts w:eastAsia="Times New Roman" w:cstheme="minorHAnsi"/>
          <w:color w:val="000000" w:themeColor="text1"/>
          <w:lang w:eastAsia="hu-HU"/>
        </w:rPr>
      </w:pPr>
      <w:r w:rsidRPr="00637C69">
        <w:rPr>
          <w:rFonts w:eastAsia="Times New Roman" w:cstheme="minorHAnsi"/>
          <w:color w:val="000000" w:themeColor="text1"/>
          <w:lang w:eastAsia="hu-HU"/>
        </w:rPr>
        <w:t>g) hogy a filmforgatás során a szomszédos lakóingatlanok gyalogos vagy gépkocsival történő megközelítését folyamatosan biztosítja.</w:t>
      </w:r>
    </w:p>
    <w:p w:rsidR="00E5299E"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(4) A filmforgatást akadályozó, de a kérelmezőnek nem felróható, valamint a rendkívüli természeti események esetén az akadály elhárulása után az esetleges kárelhárítást vagy helyreállítást követő 10 munkanapon belül biztosítani kell a közterületet újra olyan időtartamban, ameddig a filmforgatás akadályozva volt.</w:t>
      </w:r>
    </w:p>
    <w:p w:rsidR="00E5299E" w:rsidRPr="00637C69"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Default="00E5299E" w:rsidP="00E5299E">
      <w:pPr>
        <w:shd w:val="clear" w:color="auto" w:fill="FFFFFF"/>
        <w:spacing w:after="0" w:line="240" w:lineRule="auto"/>
        <w:ind w:firstLine="180"/>
        <w:jc w:val="center"/>
        <w:rPr>
          <w:rFonts w:eastAsia="Times New Roman" w:cstheme="minorHAnsi"/>
          <w:b/>
          <w:bCs/>
          <w:color w:val="000000" w:themeColor="text1"/>
          <w:lang w:eastAsia="hu-HU"/>
        </w:rPr>
      </w:pPr>
      <w:r w:rsidRPr="00637C69">
        <w:rPr>
          <w:rFonts w:eastAsia="Times New Roman" w:cstheme="minorHAnsi"/>
          <w:b/>
          <w:bCs/>
          <w:color w:val="000000" w:themeColor="text1"/>
          <w:lang w:eastAsia="hu-HU"/>
        </w:rPr>
        <w:t>30. §</w:t>
      </w:r>
    </w:p>
    <w:p w:rsidR="00E5299E" w:rsidRDefault="00E5299E" w:rsidP="00E5299E">
      <w:pPr>
        <w:shd w:val="clear" w:color="auto" w:fill="FFFFFF"/>
        <w:spacing w:after="0" w:line="240" w:lineRule="auto"/>
        <w:ind w:firstLine="180"/>
        <w:jc w:val="center"/>
        <w:rPr>
          <w:rFonts w:eastAsia="Times New Roman" w:cstheme="minorHAnsi"/>
          <w:color w:val="000000" w:themeColor="text1"/>
          <w:lang w:eastAsia="hu-HU"/>
        </w:rPr>
      </w:pPr>
    </w:p>
    <w:p w:rsidR="00E5299E"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 xml:space="preserve">(1) Közterület filmforgatási célú használata esetén fizetendő közterület használat díja megegyezik az </w:t>
      </w:r>
      <w:proofErr w:type="spellStart"/>
      <w:r w:rsidRPr="00637C69">
        <w:rPr>
          <w:rFonts w:eastAsia="Times New Roman" w:cstheme="minorHAnsi"/>
          <w:color w:val="000000" w:themeColor="text1"/>
          <w:lang w:eastAsia="hu-HU"/>
        </w:rPr>
        <w:t>Mgtv</w:t>
      </w:r>
      <w:proofErr w:type="spellEnd"/>
      <w:r w:rsidRPr="00637C69">
        <w:rPr>
          <w:rFonts w:eastAsia="Times New Roman" w:cstheme="minorHAnsi"/>
          <w:color w:val="000000" w:themeColor="text1"/>
          <w:lang w:eastAsia="hu-HU"/>
        </w:rPr>
        <w:t>. 3. mellékletében foglalt díjtételek mindenkori mértékével.</w:t>
      </w:r>
    </w:p>
    <w:p w:rsidR="00E5299E"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(2) Az (1) bekezdés szerinti díj 50 %-át kell megfizetni, ha a film forgatásának célja Tamási város történelmének, kulturális örökségének, művészeti értékeinek, sportjának, kulturális életének, közművelődési kínálatának, közösségi színtereinek, az épített és természeti környezet értékeinek, turisztikai nevezetességeinek, valamint az önkormányzat intézményei, költségvetési szervei, társaságai tevékenységének a bemutatása.</w:t>
      </w:r>
    </w:p>
    <w:p w:rsidR="00E5299E" w:rsidRPr="00637C69"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(3) Mentes a díjfizetés alól a közérdekű célokat szolgáló (különösen oktatási, tudományos vagy ismeretterjesztő témájú, vagy filmművészeti állami felsőoktatási képzés keretében készülő) filmalkotások forgatása.</w:t>
      </w:r>
    </w:p>
    <w:p w:rsidR="00E5299E" w:rsidRDefault="00E5299E" w:rsidP="00E5299E">
      <w:pPr>
        <w:shd w:val="clear" w:color="auto" w:fill="FFFFFF"/>
        <w:spacing w:after="0" w:line="240" w:lineRule="auto"/>
        <w:jc w:val="both"/>
        <w:rPr>
          <w:rFonts w:eastAsia="Times New Roman" w:cstheme="minorHAnsi"/>
          <w:color w:val="000000" w:themeColor="text1"/>
          <w:lang w:eastAsia="hu-HU"/>
        </w:rPr>
      </w:pPr>
    </w:p>
    <w:p w:rsidR="00E5299E" w:rsidRPr="00637C69" w:rsidRDefault="00E5299E" w:rsidP="00E5299E">
      <w:pPr>
        <w:shd w:val="clear" w:color="auto" w:fill="FFFFFF"/>
        <w:spacing w:after="0" w:line="240" w:lineRule="auto"/>
        <w:jc w:val="both"/>
        <w:rPr>
          <w:rFonts w:eastAsia="Times New Roman" w:cstheme="minorHAnsi"/>
          <w:color w:val="000000" w:themeColor="text1"/>
          <w:lang w:eastAsia="hu-HU"/>
        </w:rPr>
      </w:pPr>
      <w:r w:rsidRPr="00637C69">
        <w:rPr>
          <w:rFonts w:eastAsia="Times New Roman" w:cstheme="minorHAnsi"/>
          <w:color w:val="000000" w:themeColor="text1"/>
          <w:lang w:eastAsia="hu-HU"/>
        </w:rPr>
        <w:t>(4) A település turisztikailag kiemelt területeit a </w:t>
      </w:r>
      <w:r w:rsidRPr="00637C69">
        <w:rPr>
          <w:rFonts w:eastAsia="Times New Roman" w:cstheme="minorHAnsi"/>
          <w:i/>
          <w:iCs/>
          <w:color w:val="000000" w:themeColor="text1"/>
          <w:lang w:eastAsia="hu-HU"/>
        </w:rPr>
        <w:t>11. számú melléklet</w:t>
      </w:r>
      <w:r w:rsidRPr="00637C69">
        <w:rPr>
          <w:rFonts w:eastAsia="Times New Roman" w:cstheme="minorHAnsi"/>
          <w:color w:val="000000" w:themeColor="text1"/>
          <w:lang w:eastAsia="hu-HU"/>
        </w:rPr>
        <w:t> tartalmazza.</w:t>
      </w:r>
      <w:r>
        <w:rPr>
          <w:rFonts w:eastAsia="Times New Roman" w:cstheme="minorHAnsi"/>
          <w:color w:val="000000" w:themeColor="text1"/>
          <w:lang w:eastAsia="hu-HU"/>
        </w:rPr>
        <w:t>”</w:t>
      </w:r>
    </w:p>
    <w:p w:rsidR="00E5299E" w:rsidRDefault="00E5299E" w:rsidP="00E5299E">
      <w:pPr>
        <w:jc w:val="both"/>
        <w:rPr>
          <w:rFonts w:ascii="Calibri" w:hAnsi="Calibri" w:cs="Calibri"/>
          <w:b/>
        </w:rPr>
      </w:pPr>
    </w:p>
    <w:p w:rsidR="00E5299E" w:rsidRPr="0032632D" w:rsidRDefault="00E5299E" w:rsidP="00E5299E">
      <w:pPr>
        <w:jc w:val="both"/>
        <w:rPr>
          <w:rFonts w:ascii="Calibri" w:hAnsi="Calibri" w:cs="Calibri"/>
          <w:b/>
        </w:rPr>
      </w:pPr>
      <w:r w:rsidRPr="00A63AAB">
        <w:rPr>
          <w:rFonts w:ascii="Calibri" w:hAnsi="Calibri" w:cs="Calibri"/>
          <w:b/>
        </w:rPr>
        <w:t xml:space="preserve">Tamási város közterületeinek filmforgatási célú használata után az önkormányzati rendelet </w:t>
      </w:r>
      <w:r>
        <w:rPr>
          <w:rFonts w:ascii="Calibri" w:hAnsi="Calibri" w:cs="Calibri"/>
          <w:b/>
        </w:rPr>
        <w:t xml:space="preserve">30.§ </w:t>
      </w:r>
      <w:r w:rsidRPr="00A63AAB">
        <w:rPr>
          <w:rFonts w:ascii="Calibri" w:hAnsi="Calibri" w:cs="Calibri"/>
          <w:b/>
        </w:rPr>
        <w:t xml:space="preserve">(1) bekezdése szerinti díjtételek </w:t>
      </w:r>
      <w:r w:rsidRPr="00A63AAB">
        <w:rPr>
          <w:rFonts w:ascii="Calibri" w:hAnsi="Calibri" w:cs="Calibri"/>
          <w:u w:val="single"/>
        </w:rPr>
        <w:t>20</w:t>
      </w:r>
      <w:r>
        <w:rPr>
          <w:rFonts w:ascii="Calibri" w:hAnsi="Calibri" w:cs="Calibri"/>
          <w:u w:val="single"/>
        </w:rPr>
        <w:t>25</w:t>
      </w:r>
      <w:bookmarkStart w:id="0" w:name="_GoBack"/>
      <w:bookmarkEnd w:id="0"/>
      <w:r>
        <w:rPr>
          <w:rFonts w:ascii="Calibri" w:hAnsi="Calibri" w:cs="Calibri"/>
          <w:u w:val="single"/>
        </w:rPr>
        <w:t>.</w:t>
      </w:r>
      <w:r w:rsidRPr="00A63AAB">
        <w:rPr>
          <w:rFonts w:ascii="Calibri" w:hAnsi="Calibri" w:cs="Calibri"/>
          <w:u w:val="single"/>
        </w:rPr>
        <w:t xml:space="preserve"> 01. 01. napjától</w:t>
      </w:r>
      <w:r w:rsidRPr="00A63AAB">
        <w:rPr>
          <w:rFonts w:ascii="Calibri" w:hAnsi="Calibri" w:cs="Calibri"/>
          <w:b/>
          <w:u w:val="single"/>
        </w:rPr>
        <w:t xml:space="preserve"> a használat célja szerint a következők</w:t>
      </w:r>
      <w:r w:rsidRPr="00A63AAB">
        <w:rPr>
          <w:rFonts w:ascii="Calibri" w:hAnsi="Calibri" w:cs="Calibri"/>
          <w:b/>
        </w:rPr>
        <w:t>:</w:t>
      </w:r>
    </w:p>
    <w:tbl>
      <w:tblPr>
        <w:tblW w:w="9080" w:type="dxa"/>
        <w:tblInd w:w="75" w:type="dxa"/>
        <w:tblCellMar>
          <w:left w:w="70" w:type="dxa"/>
          <w:right w:w="70" w:type="dxa"/>
        </w:tblCellMar>
        <w:tblLook w:val="04A0"/>
      </w:tblPr>
      <w:tblGrid>
        <w:gridCol w:w="2919"/>
        <w:gridCol w:w="1214"/>
        <w:gridCol w:w="1252"/>
        <w:gridCol w:w="1354"/>
        <w:gridCol w:w="1145"/>
        <w:gridCol w:w="1196"/>
      </w:tblGrid>
      <w:tr w:rsidR="00E5299E" w:rsidRPr="00E67F4B" w:rsidTr="00411AAD">
        <w:trPr>
          <w:trHeight w:val="1200"/>
        </w:trPr>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Közterület-besorolás</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Forgatási terület</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Technikai terület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Stábparkolási terület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Kiürítési terület</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Közlekedés elől elzárt terület</w:t>
            </w:r>
          </w:p>
        </w:tc>
      </w:tr>
      <w:tr w:rsidR="00E5299E" w:rsidRPr="00E67F4B" w:rsidTr="00411AAD">
        <w:trPr>
          <w:trHeight w:val="300"/>
        </w:trPr>
        <w:tc>
          <w:tcPr>
            <w:tcW w:w="3032" w:type="dxa"/>
            <w:vMerge/>
            <w:tcBorders>
              <w:top w:val="single" w:sz="4" w:space="0" w:color="auto"/>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(F)</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(T)</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(P)</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(K)</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(E)</w:t>
            </w:r>
          </w:p>
        </w:tc>
      </w:tr>
      <w:tr w:rsidR="00E5299E" w:rsidRPr="00E67F4B" w:rsidTr="00411AAD">
        <w:trPr>
          <w:trHeight w:val="600"/>
        </w:trPr>
        <w:tc>
          <w:tcPr>
            <w:tcW w:w="3032" w:type="dxa"/>
            <w:vMerge w:val="restart"/>
            <w:tcBorders>
              <w:top w:val="nil"/>
              <w:left w:val="single" w:sz="4" w:space="0" w:color="auto"/>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A város turisztikailag kiemelt területei</w:t>
            </w: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
                <w:color w:val="000000"/>
              </w:rPr>
            </w:pPr>
            <w:r w:rsidRPr="00E67F4B">
              <w:rPr>
                <w:rFonts w:ascii="Calibri" w:hAnsi="Calibri" w:cs="Calibri"/>
                <w:b/>
                <w:i/>
                <w:color w:val="000000"/>
              </w:rPr>
              <w:t>Ft/m2/nap</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
                <w:color w:val="000000"/>
              </w:rPr>
            </w:pPr>
            <w:r w:rsidRPr="00E67F4B">
              <w:rPr>
                <w:rFonts w:ascii="Calibri" w:hAnsi="Calibri" w:cs="Calibri"/>
                <w:b/>
                <w:i/>
                <w:color w:val="000000"/>
              </w:rPr>
              <w:t>Ft/m2/nap</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
                <w:color w:val="000000"/>
              </w:rPr>
            </w:pPr>
            <w:r w:rsidRPr="00E67F4B">
              <w:rPr>
                <w:rFonts w:ascii="Calibri" w:hAnsi="Calibri" w:cs="Calibri"/>
                <w:b/>
                <w:i/>
                <w:color w:val="000000"/>
              </w:rPr>
              <w:t>Ft/m2/nap</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
                <w:color w:val="000000"/>
              </w:rPr>
            </w:pPr>
            <w:r w:rsidRPr="00E67F4B">
              <w:rPr>
                <w:rFonts w:ascii="Calibri" w:hAnsi="Calibri" w:cs="Calibri"/>
                <w:b/>
                <w:i/>
                <w:color w:val="000000"/>
              </w:rPr>
              <w:t>Ft/m2/nap</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
                <w:color w:val="000000"/>
              </w:rPr>
            </w:pPr>
            <w:r w:rsidRPr="00E67F4B">
              <w:rPr>
                <w:rFonts w:ascii="Calibri" w:hAnsi="Calibri" w:cs="Calibri"/>
                <w:b/>
                <w:i/>
                <w:color w:val="000000"/>
              </w:rPr>
              <w:t>Ft/m2/nap</w:t>
            </w:r>
          </w:p>
        </w:tc>
      </w:tr>
      <w:tr w:rsidR="00E5299E" w:rsidRPr="00E67F4B" w:rsidTr="00411AAD">
        <w:trPr>
          <w:trHeight w:val="300"/>
        </w:trPr>
        <w:tc>
          <w:tcPr>
            <w:tcW w:w="3032" w:type="dxa"/>
            <w:vMerge/>
            <w:tcBorders>
              <w:top w:val="nil"/>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Pr>
                <w:rFonts w:ascii="Calibri" w:hAnsi="Calibri" w:cs="Calibri"/>
                <w:bCs/>
                <w:i/>
                <w:color w:val="000000"/>
              </w:rPr>
              <w:t>694</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2</w:t>
            </w:r>
            <w:r>
              <w:rPr>
                <w:rFonts w:ascii="Calibri" w:hAnsi="Calibri" w:cs="Calibri"/>
                <w:bCs/>
                <w:i/>
                <w:color w:val="000000"/>
              </w:rPr>
              <w:t>77</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2</w:t>
            </w:r>
            <w:r>
              <w:rPr>
                <w:rFonts w:ascii="Calibri" w:hAnsi="Calibri" w:cs="Calibri"/>
                <w:bCs/>
                <w:i/>
                <w:color w:val="000000"/>
              </w:rPr>
              <w:t>77</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2</w:t>
            </w:r>
            <w:r>
              <w:rPr>
                <w:rFonts w:ascii="Calibri" w:hAnsi="Calibri" w:cs="Calibri"/>
                <w:bCs/>
                <w:i/>
                <w:color w:val="000000"/>
              </w:rPr>
              <w:t>77</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Pr>
                <w:rFonts w:ascii="Calibri" w:hAnsi="Calibri" w:cs="Calibri"/>
                <w:bCs/>
                <w:i/>
                <w:color w:val="000000"/>
              </w:rPr>
              <w:t>75</w:t>
            </w:r>
          </w:p>
        </w:tc>
      </w:tr>
      <w:tr w:rsidR="00E5299E" w:rsidRPr="00E67F4B" w:rsidTr="00411AAD">
        <w:trPr>
          <w:trHeight w:val="300"/>
        </w:trPr>
        <w:tc>
          <w:tcPr>
            <w:tcW w:w="3032" w:type="dxa"/>
            <w:vMerge/>
            <w:tcBorders>
              <w:top w:val="nil"/>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6048" w:type="dxa"/>
            <w:gridSpan w:val="5"/>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Töredék nap esetén az alábbi díjak érvényesek*</w:t>
            </w:r>
          </w:p>
        </w:tc>
      </w:tr>
      <w:tr w:rsidR="00E5299E" w:rsidRPr="00E67F4B" w:rsidTr="00411AAD">
        <w:trPr>
          <w:trHeight w:val="300"/>
        </w:trPr>
        <w:tc>
          <w:tcPr>
            <w:tcW w:w="3032" w:type="dxa"/>
            <w:vMerge/>
            <w:tcBorders>
              <w:top w:val="nil"/>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347</w:t>
            </w:r>
            <w:r w:rsidRPr="00E67F4B">
              <w:rPr>
                <w:rFonts w:ascii="Calibri" w:hAnsi="Calibri" w:cs="Calibri"/>
                <w:b/>
                <w:iCs/>
                <w:color w:val="000000"/>
              </w:rPr>
              <w:t>*</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1</w:t>
            </w:r>
            <w:r>
              <w:rPr>
                <w:rFonts w:ascii="Calibri" w:hAnsi="Calibri" w:cs="Calibri"/>
                <w:b/>
                <w:iCs/>
                <w:color w:val="000000"/>
              </w:rPr>
              <w:t>38</w:t>
            </w:r>
            <w:r w:rsidRPr="00E67F4B">
              <w:rPr>
                <w:rFonts w:ascii="Calibri" w:hAnsi="Calibri" w:cs="Calibri"/>
                <w:b/>
                <w:iCs/>
                <w:color w:val="000000"/>
              </w:rPr>
              <w:t>*</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1</w:t>
            </w:r>
            <w:r>
              <w:rPr>
                <w:rFonts w:ascii="Calibri" w:hAnsi="Calibri" w:cs="Calibri"/>
                <w:b/>
                <w:iCs/>
                <w:color w:val="000000"/>
              </w:rPr>
              <w:t>38</w:t>
            </w:r>
            <w:r w:rsidRPr="00E67F4B">
              <w:rPr>
                <w:rFonts w:ascii="Calibri" w:hAnsi="Calibri" w:cs="Calibri"/>
                <w:b/>
                <w:iCs/>
                <w:color w:val="000000"/>
              </w:rPr>
              <w:t>*</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1</w:t>
            </w:r>
            <w:r>
              <w:rPr>
                <w:rFonts w:ascii="Calibri" w:hAnsi="Calibri" w:cs="Calibri"/>
                <w:b/>
                <w:iCs/>
                <w:color w:val="000000"/>
              </w:rPr>
              <w:t>38</w:t>
            </w:r>
            <w:r w:rsidRPr="00E67F4B">
              <w:rPr>
                <w:rFonts w:ascii="Calibri" w:hAnsi="Calibri" w:cs="Calibri"/>
                <w:b/>
                <w:iCs/>
                <w:color w:val="000000"/>
              </w:rPr>
              <w:t>*</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38</w:t>
            </w:r>
            <w:r w:rsidRPr="00E67F4B">
              <w:rPr>
                <w:rFonts w:ascii="Calibri" w:hAnsi="Calibri" w:cs="Calibri"/>
                <w:b/>
                <w:iCs/>
                <w:color w:val="000000"/>
              </w:rPr>
              <w:t>*</w:t>
            </w:r>
          </w:p>
        </w:tc>
      </w:tr>
      <w:tr w:rsidR="00E5299E" w:rsidRPr="00E67F4B" w:rsidTr="00411AAD">
        <w:trPr>
          <w:trHeight w:val="300"/>
        </w:trPr>
        <w:tc>
          <w:tcPr>
            <w:tcW w:w="3032" w:type="dxa"/>
            <w:vMerge w:val="restart"/>
            <w:tcBorders>
              <w:top w:val="nil"/>
              <w:left w:val="single" w:sz="4" w:space="0" w:color="auto"/>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A város nem turisztikailag kiemelt területei</w:t>
            </w: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2</w:t>
            </w:r>
            <w:r>
              <w:rPr>
                <w:rFonts w:ascii="Calibri" w:hAnsi="Calibri" w:cs="Calibri"/>
                <w:bCs/>
                <w:i/>
                <w:color w:val="000000"/>
              </w:rPr>
              <w:t>77</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Pr>
                <w:rFonts w:ascii="Calibri" w:hAnsi="Calibri" w:cs="Calibri"/>
                <w:bCs/>
                <w:i/>
                <w:color w:val="000000"/>
              </w:rPr>
              <w:t>208</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1</w:t>
            </w:r>
            <w:r>
              <w:rPr>
                <w:rFonts w:ascii="Calibri" w:hAnsi="Calibri" w:cs="Calibri"/>
                <w:bCs/>
                <w:i/>
                <w:color w:val="000000"/>
              </w:rPr>
              <w:t>38</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sidRPr="00E67F4B">
              <w:rPr>
                <w:rFonts w:ascii="Calibri" w:hAnsi="Calibri" w:cs="Calibri"/>
                <w:bCs/>
                <w:i/>
                <w:color w:val="000000"/>
              </w:rPr>
              <w:t>1</w:t>
            </w:r>
            <w:r>
              <w:rPr>
                <w:rFonts w:ascii="Calibri" w:hAnsi="Calibri" w:cs="Calibri"/>
                <w:bCs/>
                <w:i/>
                <w:color w:val="000000"/>
              </w:rPr>
              <w:t>38</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Cs/>
                <w:i/>
                <w:color w:val="000000"/>
              </w:rPr>
            </w:pPr>
            <w:r>
              <w:rPr>
                <w:rFonts w:ascii="Calibri" w:hAnsi="Calibri" w:cs="Calibri"/>
                <w:bCs/>
                <w:i/>
                <w:color w:val="000000"/>
              </w:rPr>
              <w:t>50</w:t>
            </w:r>
          </w:p>
        </w:tc>
      </w:tr>
      <w:tr w:rsidR="00E5299E" w:rsidRPr="00E67F4B" w:rsidTr="00411AAD">
        <w:trPr>
          <w:trHeight w:val="300"/>
        </w:trPr>
        <w:tc>
          <w:tcPr>
            <w:tcW w:w="3032" w:type="dxa"/>
            <w:vMerge/>
            <w:tcBorders>
              <w:top w:val="nil"/>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6048" w:type="dxa"/>
            <w:gridSpan w:val="5"/>
            <w:tcBorders>
              <w:top w:val="single" w:sz="4" w:space="0" w:color="auto"/>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Töredék nap esetén az alábbi díjak érvényesek*</w:t>
            </w:r>
          </w:p>
        </w:tc>
      </w:tr>
      <w:tr w:rsidR="00E5299E" w:rsidRPr="00E67F4B" w:rsidTr="00411AAD">
        <w:trPr>
          <w:trHeight w:val="70"/>
        </w:trPr>
        <w:tc>
          <w:tcPr>
            <w:tcW w:w="3032" w:type="dxa"/>
            <w:vMerge/>
            <w:tcBorders>
              <w:top w:val="nil"/>
              <w:left w:val="single" w:sz="4" w:space="0" w:color="auto"/>
              <w:bottom w:val="single" w:sz="4" w:space="0" w:color="auto"/>
              <w:right w:val="single" w:sz="4" w:space="0" w:color="auto"/>
            </w:tcBorders>
            <w:vAlign w:val="center"/>
            <w:hideMark/>
          </w:tcPr>
          <w:p w:rsidR="00E5299E" w:rsidRPr="00E67F4B" w:rsidRDefault="00E5299E" w:rsidP="00411AAD">
            <w:pPr>
              <w:rPr>
                <w:rFonts w:ascii="Calibri" w:hAnsi="Calibri" w:cs="Calibri"/>
                <w:bCs/>
                <w:i/>
                <w:color w:val="000000"/>
              </w:rPr>
            </w:pPr>
          </w:p>
        </w:tc>
        <w:tc>
          <w:tcPr>
            <w:tcW w:w="121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sidRPr="00E67F4B">
              <w:rPr>
                <w:rFonts w:ascii="Calibri" w:hAnsi="Calibri" w:cs="Calibri"/>
                <w:b/>
                <w:iCs/>
                <w:color w:val="000000"/>
              </w:rPr>
              <w:t>1</w:t>
            </w:r>
            <w:r>
              <w:rPr>
                <w:rFonts w:ascii="Calibri" w:hAnsi="Calibri" w:cs="Calibri"/>
                <w:b/>
                <w:iCs/>
                <w:color w:val="000000"/>
              </w:rPr>
              <w:t>38</w:t>
            </w:r>
            <w:r w:rsidRPr="00E67F4B">
              <w:rPr>
                <w:rFonts w:ascii="Calibri" w:hAnsi="Calibri" w:cs="Calibri"/>
                <w:b/>
                <w:iCs/>
                <w:color w:val="000000"/>
              </w:rPr>
              <w:t>*</w:t>
            </w:r>
          </w:p>
        </w:tc>
        <w:tc>
          <w:tcPr>
            <w:tcW w:w="125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104</w:t>
            </w:r>
            <w:r w:rsidRPr="00E67F4B">
              <w:rPr>
                <w:rFonts w:ascii="Calibri" w:hAnsi="Calibri" w:cs="Calibri"/>
                <w:b/>
                <w:iCs/>
                <w:color w:val="000000"/>
              </w:rPr>
              <w:t>*</w:t>
            </w:r>
          </w:p>
        </w:tc>
        <w:tc>
          <w:tcPr>
            <w:tcW w:w="1271"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69</w:t>
            </w:r>
            <w:r w:rsidRPr="00E67F4B">
              <w:rPr>
                <w:rFonts w:ascii="Calibri" w:hAnsi="Calibri" w:cs="Calibri"/>
                <w:b/>
                <w:iCs/>
                <w:color w:val="000000"/>
              </w:rPr>
              <w:t>*</w:t>
            </w:r>
          </w:p>
        </w:tc>
        <w:tc>
          <w:tcPr>
            <w:tcW w:w="1100"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69</w:t>
            </w:r>
            <w:r w:rsidRPr="00E67F4B">
              <w:rPr>
                <w:rFonts w:ascii="Calibri" w:hAnsi="Calibri" w:cs="Calibri"/>
                <w:b/>
                <w:iCs/>
                <w:color w:val="000000"/>
              </w:rPr>
              <w:t>*</w:t>
            </w:r>
          </w:p>
        </w:tc>
        <w:tc>
          <w:tcPr>
            <w:tcW w:w="1199" w:type="dxa"/>
            <w:tcBorders>
              <w:top w:val="nil"/>
              <w:left w:val="nil"/>
              <w:bottom w:val="single" w:sz="4" w:space="0" w:color="auto"/>
              <w:right w:val="single" w:sz="4" w:space="0" w:color="auto"/>
            </w:tcBorders>
            <w:shd w:val="clear" w:color="auto" w:fill="auto"/>
            <w:vAlign w:val="center"/>
            <w:hideMark/>
          </w:tcPr>
          <w:p w:rsidR="00E5299E" w:rsidRPr="00E67F4B" w:rsidRDefault="00E5299E" w:rsidP="00411AAD">
            <w:pPr>
              <w:jc w:val="center"/>
              <w:rPr>
                <w:rFonts w:ascii="Calibri" w:hAnsi="Calibri" w:cs="Calibri"/>
                <w:b/>
                <w:iCs/>
                <w:color w:val="000000"/>
              </w:rPr>
            </w:pPr>
            <w:r>
              <w:rPr>
                <w:rFonts w:ascii="Calibri" w:hAnsi="Calibri" w:cs="Calibri"/>
                <w:b/>
                <w:iCs/>
                <w:color w:val="000000"/>
              </w:rPr>
              <w:t>25</w:t>
            </w:r>
            <w:r w:rsidRPr="00E67F4B">
              <w:rPr>
                <w:rFonts w:ascii="Calibri" w:hAnsi="Calibri" w:cs="Calibri"/>
                <w:b/>
                <w:iCs/>
                <w:color w:val="000000"/>
              </w:rPr>
              <w:t>*</w:t>
            </w:r>
          </w:p>
        </w:tc>
      </w:tr>
    </w:tbl>
    <w:p w:rsidR="00E5299E" w:rsidRPr="00024306" w:rsidRDefault="00E5299E" w:rsidP="00E5299E">
      <w:pPr>
        <w:spacing w:after="0"/>
        <w:jc w:val="both"/>
        <w:rPr>
          <w:rFonts w:ascii="Calibri" w:hAnsi="Calibri" w:cs="Calibri"/>
          <w:b/>
          <w:i/>
          <w:sz w:val="24"/>
          <w:szCs w:val="24"/>
        </w:rPr>
      </w:pPr>
    </w:p>
    <w:p w:rsidR="00E5299E" w:rsidRDefault="00E5299E" w:rsidP="00E5299E">
      <w:pPr>
        <w:spacing w:after="0" w:line="240" w:lineRule="auto"/>
        <w:jc w:val="both"/>
        <w:rPr>
          <w:rStyle w:val="Kiemels2"/>
          <w:rFonts w:cstheme="minorHAnsi"/>
          <w:color w:val="000000" w:themeColor="text1"/>
          <w:shd w:val="clear" w:color="auto" w:fill="FFFFFF"/>
        </w:rPr>
      </w:pPr>
      <w:r w:rsidRPr="00A63AAB">
        <w:rPr>
          <w:rFonts w:cstheme="minorHAnsi"/>
          <w:color w:val="000000" w:themeColor="text1"/>
          <w:shd w:val="clear" w:color="auto" w:fill="FFFFFF"/>
        </w:rPr>
        <w:t xml:space="preserve">Tájékoztatjuk, hogy </w:t>
      </w:r>
      <w:r>
        <w:rPr>
          <w:rFonts w:cstheme="minorHAnsi"/>
          <w:color w:val="000000" w:themeColor="text1"/>
          <w:shd w:val="clear" w:color="auto" w:fill="FFFFFF"/>
        </w:rPr>
        <w:t xml:space="preserve">a </w:t>
      </w:r>
      <w:r w:rsidRPr="00A63AAB">
        <w:rPr>
          <w:rStyle w:val="Kiemels2"/>
          <w:rFonts w:cstheme="minorHAnsi"/>
          <w:color w:val="000000" w:themeColor="text1"/>
          <w:shd w:val="clear" w:color="auto" w:fill="FFFFFF"/>
        </w:rPr>
        <w:t>Filmtörvény</w:t>
      </w:r>
      <w:r w:rsidRPr="00A63AAB">
        <w:rPr>
          <w:rFonts w:cstheme="minorHAnsi"/>
          <w:color w:val="000000" w:themeColor="text1"/>
          <w:shd w:val="clear" w:color="auto" w:fill="FFFFFF"/>
        </w:rPr>
        <w:t> közterületek és az állami tulajdonban álló ingatlanok filmforgatási célú használatáról szóló IV. fejezetének 2016. október 1. napjával hatályba lépő módosítását követően </w:t>
      </w:r>
      <w:r w:rsidRPr="00A63AAB">
        <w:rPr>
          <w:rStyle w:val="Kiemels2"/>
          <w:rFonts w:cstheme="minorHAnsi"/>
          <w:color w:val="000000" w:themeColor="text1"/>
          <w:shd w:val="clear" w:color="auto" w:fill="FFFFFF"/>
        </w:rPr>
        <w:t>a filmforgatási célú közterület-használati eljárásokkal kapcsolatos feladatokat országos illetékességgel a Nemzeti Filmintézet Közhasznú Nonprofit Zrt. Filmforgatási Helyszínek Irodája</w:t>
      </w:r>
      <w:r w:rsidRPr="00A63AAB">
        <w:rPr>
          <w:rFonts w:cstheme="minorHAnsi"/>
          <w:color w:val="000000" w:themeColor="text1"/>
          <w:shd w:val="clear" w:color="auto" w:fill="FFFFFF"/>
        </w:rPr>
        <w:t> </w:t>
      </w:r>
      <w:r w:rsidRPr="00A63AAB">
        <w:rPr>
          <w:rStyle w:val="Kiemels2"/>
          <w:rFonts w:cstheme="minorHAnsi"/>
          <w:color w:val="000000" w:themeColor="text1"/>
          <w:shd w:val="clear" w:color="auto" w:fill="FFFFFF"/>
        </w:rPr>
        <w:t>látja el.</w:t>
      </w:r>
    </w:p>
    <w:p w:rsidR="00E5299E" w:rsidRDefault="00E5299E" w:rsidP="00E5299E">
      <w:pPr>
        <w:spacing w:after="0" w:line="240" w:lineRule="auto"/>
        <w:jc w:val="both"/>
        <w:rPr>
          <w:rFonts w:cstheme="minorHAnsi"/>
          <w:color w:val="000000" w:themeColor="text1"/>
        </w:rPr>
      </w:pPr>
    </w:p>
    <w:p w:rsidR="00E5299E" w:rsidRPr="00A45EB7" w:rsidRDefault="00E5299E" w:rsidP="00E5299E">
      <w:pPr>
        <w:pStyle w:val="Cmsor1"/>
        <w:shd w:val="clear" w:color="auto" w:fill="FFFFFF"/>
        <w:spacing w:before="0" w:line="240" w:lineRule="auto"/>
        <w:jc w:val="both"/>
        <w:rPr>
          <w:rFonts w:asciiTheme="minorHAnsi" w:eastAsia="Times New Roman" w:hAnsiTheme="minorHAnsi" w:cstheme="minorHAnsi"/>
          <w:color w:val="000000" w:themeColor="text1"/>
          <w:spacing w:val="-5"/>
          <w:kern w:val="36"/>
          <w:sz w:val="22"/>
          <w:szCs w:val="22"/>
          <w:lang w:eastAsia="hu-HU"/>
        </w:rPr>
      </w:pPr>
      <w:r w:rsidRPr="00A45EB7">
        <w:rPr>
          <w:rFonts w:asciiTheme="minorHAnsi" w:hAnsiTheme="minorHAnsi" w:cstheme="minorHAnsi"/>
          <w:color w:val="000000" w:themeColor="text1"/>
          <w:sz w:val="22"/>
          <w:szCs w:val="22"/>
          <w:shd w:val="clear" w:color="auto" w:fill="FFFFFF"/>
        </w:rPr>
        <w:t xml:space="preserve">A filmforgatási célú közterület használatra vonatkozó részletszabályokat </w:t>
      </w:r>
      <w:r w:rsidRPr="00A45EB7">
        <w:rPr>
          <w:rFonts w:asciiTheme="minorHAnsi" w:eastAsia="Times New Roman" w:hAnsiTheme="minorHAnsi" w:cstheme="minorHAnsi"/>
          <w:b/>
          <w:bCs/>
          <w:color w:val="000000" w:themeColor="text1"/>
          <w:spacing w:val="-5"/>
          <w:kern w:val="36"/>
          <w:sz w:val="22"/>
          <w:szCs w:val="22"/>
          <w:lang w:eastAsia="hu-HU"/>
        </w:rPr>
        <w:t>a közterületek és az állami tulajdonban álló ingatlanok filmforgatási célú használatának részletes szabályairó</w:t>
      </w:r>
      <w:r>
        <w:rPr>
          <w:rFonts w:asciiTheme="minorHAnsi" w:eastAsia="Times New Roman" w:hAnsiTheme="minorHAnsi" w:cstheme="minorHAnsi"/>
          <w:b/>
          <w:bCs/>
          <w:color w:val="000000" w:themeColor="text1"/>
          <w:spacing w:val="-5"/>
          <w:kern w:val="36"/>
          <w:sz w:val="22"/>
          <w:szCs w:val="22"/>
          <w:lang w:eastAsia="hu-HU"/>
        </w:rPr>
        <w:t xml:space="preserve">l szóló </w:t>
      </w:r>
      <w:r w:rsidRPr="00A45EB7">
        <w:rPr>
          <w:rStyle w:val="Kiemels2"/>
          <w:rFonts w:asciiTheme="minorHAnsi" w:hAnsiTheme="minorHAnsi" w:cstheme="minorHAnsi"/>
          <w:color w:val="000000" w:themeColor="text1"/>
          <w:sz w:val="22"/>
          <w:szCs w:val="22"/>
          <w:shd w:val="clear" w:color="auto" w:fill="FFFFFF"/>
        </w:rPr>
        <w:t>302/2016 (X.13.) Kormányrendelet</w:t>
      </w:r>
      <w:r w:rsidRPr="00A45EB7">
        <w:rPr>
          <w:rFonts w:asciiTheme="minorHAnsi" w:hAnsiTheme="minorHAnsi" w:cstheme="minorHAnsi"/>
          <w:color w:val="000000" w:themeColor="text1"/>
          <w:sz w:val="22"/>
          <w:szCs w:val="22"/>
          <w:shd w:val="clear" w:color="auto" w:fill="FFFFFF"/>
        </w:rPr>
        <w:t> rögzíti.</w:t>
      </w:r>
    </w:p>
    <w:p w:rsidR="00E5299E" w:rsidRPr="00A45EB7" w:rsidRDefault="00E5299E" w:rsidP="00E5299E">
      <w:pPr>
        <w:spacing w:after="0" w:line="240" w:lineRule="auto"/>
        <w:jc w:val="both"/>
        <w:rPr>
          <w:rFonts w:cstheme="minorHAnsi"/>
          <w:color w:val="000000" w:themeColor="text1"/>
        </w:rPr>
      </w:pPr>
    </w:p>
    <w:p w:rsidR="00E5299E" w:rsidRDefault="00E5299E" w:rsidP="00E5299E">
      <w:pPr>
        <w:spacing w:after="0" w:line="240" w:lineRule="auto"/>
        <w:jc w:val="both"/>
        <w:rPr>
          <w:rFonts w:cstheme="minorHAnsi"/>
          <w:color w:val="000000" w:themeColor="text1"/>
        </w:rPr>
      </w:pPr>
      <w:r>
        <w:rPr>
          <w:rFonts w:cstheme="minorHAnsi"/>
          <w:color w:val="000000" w:themeColor="text1"/>
        </w:rPr>
        <w:t xml:space="preserve">Amennyiben további kérdés merül fel, állunk szíves rendelkezésére a Tamási Polgármesteri Hivatal (7090 Tamási, Szabadság u. 46-48.) 12-es számú irodájában. </w:t>
      </w:r>
    </w:p>
    <w:p w:rsidR="00E5299E" w:rsidRDefault="00E5299E" w:rsidP="00E5299E">
      <w:pPr>
        <w:spacing w:after="0" w:line="240" w:lineRule="auto"/>
        <w:jc w:val="both"/>
        <w:rPr>
          <w:rFonts w:cstheme="minorHAnsi"/>
          <w:color w:val="000000" w:themeColor="text1"/>
        </w:rPr>
      </w:pPr>
    </w:p>
    <w:p w:rsidR="00E5299E" w:rsidRDefault="00E5299E" w:rsidP="00B53CF6">
      <w:pPr>
        <w:spacing w:after="0" w:line="240" w:lineRule="auto"/>
        <w:ind w:left="2832" w:firstLine="708"/>
        <w:jc w:val="center"/>
        <w:rPr>
          <w:rFonts w:cstheme="minorHAnsi"/>
          <w:color w:val="000000" w:themeColor="text1"/>
        </w:rPr>
      </w:pPr>
      <w:proofErr w:type="spellStart"/>
      <w:r>
        <w:rPr>
          <w:rFonts w:cstheme="minorHAnsi"/>
          <w:color w:val="000000" w:themeColor="text1"/>
        </w:rPr>
        <w:t>Porga</w:t>
      </w:r>
      <w:proofErr w:type="spellEnd"/>
      <w:r>
        <w:rPr>
          <w:rFonts w:cstheme="minorHAnsi"/>
          <w:color w:val="000000" w:themeColor="text1"/>
        </w:rPr>
        <w:t xml:space="preserve"> Ferenc </w:t>
      </w:r>
    </w:p>
    <w:p w:rsidR="00A93E52" w:rsidRPr="00B53CF6" w:rsidRDefault="00E5299E" w:rsidP="00B53CF6">
      <w:pPr>
        <w:spacing w:after="0" w:line="240" w:lineRule="auto"/>
        <w:jc w:val="center"/>
        <w:rPr>
          <w:rFonts w:cstheme="minorHAnsi"/>
          <w:color w:val="000000" w:themeColor="text1"/>
        </w:rPr>
      </w:pPr>
      <w:r>
        <w:rPr>
          <w:rFonts w:cstheme="minorHAnsi"/>
          <w:color w:val="000000" w:themeColor="text1"/>
        </w:rPr>
        <w:t xml:space="preserve">                                                                    </w:t>
      </w:r>
      <w:r w:rsidR="00B53CF6">
        <w:rPr>
          <w:rFonts w:cstheme="minorHAnsi"/>
          <w:color w:val="000000" w:themeColor="text1"/>
        </w:rPr>
        <w:t xml:space="preserve">    </w:t>
      </w:r>
      <w:proofErr w:type="gramStart"/>
      <w:r>
        <w:rPr>
          <w:rFonts w:cstheme="minorHAnsi"/>
          <w:color w:val="000000" w:themeColor="text1"/>
        </w:rPr>
        <w:t>polgármester</w:t>
      </w:r>
      <w:proofErr w:type="gramEnd"/>
    </w:p>
    <w:sectPr w:rsidR="00A93E52" w:rsidRPr="00B53CF6" w:rsidSect="00B573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99E"/>
    <w:rsid w:val="00243056"/>
    <w:rsid w:val="002E0416"/>
    <w:rsid w:val="00407B6D"/>
    <w:rsid w:val="00B53CF6"/>
    <w:rsid w:val="00B57308"/>
    <w:rsid w:val="00E529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299E"/>
  </w:style>
  <w:style w:type="paragraph" w:styleId="Cmsor1">
    <w:name w:val="heading 1"/>
    <w:basedOn w:val="Norml"/>
    <w:next w:val="Norml"/>
    <w:link w:val="Cmsor1Char"/>
    <w:uiPriority w:val="9"/>
    <w:qFormat/>
    <w:rsid w:val="00E529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299E"/>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E5299E"/>
    <w:rPr>
      <w:color w:val="0563C1" w:themeColor="hyperlink"/>
      <w:u w:val="single"/>
    </w:rPr>
  </w:style>
  <w:style w:type="table" w:styleId="Rcsostblzat">
    <w:name w:val="Table Grid"/>
    <w:basedOn w:val="Normltblzat"/>
    <w:uiPriority w:val="39"/>
    <w:rsid w:val="00E52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E5299E"/>
    <w:rPr>
      <w:b/>
      <w:bCs/>
    </w:rPr>
  </w:style>
  <w:style w:type="paragraph" w:styleId="Buborkszveg">
    <w:name w:val="Balloon Text"/>
    <w:basedOn w:val="Norml"/>
    <w:link w:val="BuborkszvegChar"/>
    <w:uiPriority w:val="99"/>
    <w:semiHidden/>
    <w:unhideWhenUsed/>
    <w:rsid w:val="00B53CF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3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garmester@tamasi.hu" TargetMode="External"/><Relationship Id="rId5" Type="http://schemas.openxmlformats.org/officeDocument/2006/relationships/hyperlink" Target="http://www.tamasi.h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4506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Menyhárt Judit</dc:creator>
  <cp:lastModifiedBy>Iron Mole</cp:lastModifiedBy>
  <cp:revision>2</cp:revision>
  <dcterms:created xsi:type="dcterms:W3CDTF">2025-01-02T11:42:00Z</dcterms:created>
  <dcterms:modified xsi:type="dcterms:W3CDTF">2025-01-02T11:42:00Z</dcterms:modified>
</cp:coreProperties>
</file>